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54E" w:rsidRPr="00877D93" w:rsidRDefault="003A754E" w:rsidP="003A754E">
      <w:pPr>
        <w:widowControl w:val="0"/>
        <w:ind w:firstLine="709"/>
        <w:jc w:val="both"/>
      </w:pPr>
      <w:r w:rsidRPr="000E6EB1">
        <w:rPr>
          <w:szCs w:val="28"/>
        </w:rPr>
        <w:t xml:space="preserve">Стационарная наркологическая помощь оказывается в областном государственном бюджетном учреждении здравоохранения «Иркутский областной психоневрологический диспансер» и его филиалах и </w:t>
      </w:r>
      <w:r w:rsidRPr="000E6EB1">
        <w:rPr>
          <w:szCs w:val="28"/>
        </w:rPr>
        <w:br/>
        <w:t>в 8 отделениях областных государственных бюджетных учреждений здравоохранения</w:t>
      </w:r>
      <w:r>
        <w:rPr>
          <w:szCs w:val="28"/>
        </w:rPr>
        <w:t>.</w:t>
      </w:r>
      <w:r w:rsidRPr="00877D93">
        <w:rPr>
          <w:szCs w:val="28"/>
        </w:rPr>
        <w:t xml:space="preserve"> </w:t>
      </w:r>
    </w:p>
    <w:p w:rsidR="003A754E" w:rsidRPr="00D45F2C" w:rsidRDefault="003A754E" w:rsidP="003A754E">
      <w:pPr>
        <w:pStyle w:val="a3"/>
        <w:spacing w:before="0" w:beforeAutospacing="0" w:after="0" w:afterAutospacing="0"/>
        <w:ind w:firstLine="567"/>
        <w:jc w:val="both"/>
      </w:pPr>
      <w:r w:rsidRPr="009E7CA0">
        <w:rPr>
          <w:rFonts w:eastAsiaTheme="minorEastAsia"/>
          <w:color w:val="000000" w:themeColor="text1"/>
          <w:kern w:val="24"/>
          <w:sz w:val="28"/>
          <w:szCs w:val="28"/>
        </w:rPr>
        <w:t xml:space="preserve">В настоящий момент всего в Иркутской области функционирует </w:t>
      </w:r>
      <w:r>
        <w:rPr>
          <w:rFonts w:eastAsiaTheme="minorEastAsia"/>
          <w:color w:val="000000" w:themeColor="text1"/>
          <w:kern w:val="24"/>
          <w:sz w:val="28"/>
          <w:szCs w:val="28"/>
        </w:rPr>
        <w:t>386</w:t>
      </w:r>
      <w:r w:rsidRPr="009E7CA0">
        <w:rPr>
          <w:rFonts w:eastAsiaTheme="minorEastAsia"/>
          <w:color w:val="000000" w:themeColor="text1"/>
          <w:kern w:val="24"/>
          <w:sz w:val="28"/>
          <w:szCs w:val="28"/>
        </w:rPr>
        <w:t xml:space="preserve"> коек для оказания медицинской помощи пациентам, страдающим наркологическими расстройствами</w:t>
      </w:r>
      <w:r>
        <w:rPr>
          <w:rFonts w:eastAsiaTheme="minorEastAsia"/>
          <w:color w:val="000000" w:themeColor="text1"/>
          <w:kern w:val="24"/>
          <w:sz w:val="28"/>
          <w:szCs w:val="28"/>
        </w:rPr>
        <w:t xml:space="preserve">, из них 336 койка для лечения пациентов с наркологическими расстройствами и </w:t>
      </w:r>
      <w:r w:rsidRPr="007A4108">
        <w:rPr>
          <w:rFonts w:eastAsiaTheme="minorEastAsia"/>
          <w:color w:val="000000" w:themeColor="text1"/>
          <w:kern w:val="24"/>
          <w:sz w:val="28"/>
          <w:szCs w:val="28"/>
        </w:rPr>
        <w:t>50 коек для реабилитации данной категории пациентов</w:t>
      </w:r>
      <w:r w:rsidRPr="007A4108">
        <w:rPr>
          <w:sz w:val="28"/>
        </w:rPr>
        <w:t xml:space="preserve"> (ОГБУЗ «ИОПНД», г. Иркутск)</w:t>
      </w:r>
    </w:p>
    <w:p w:rsidR="003A754E" w:rsidRDefault="003A754E" w:rsidP="003A754E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474"/>
        <w:gridCol w:w="2871"/>
      </w:tblGrid>
      <w:tr w:rsidR="003A754E" w:rsidTr="00104124">
        <w:tc>
          <w:tcPr>
            <w:tcW w:w="6629" w:type="dxa"/>
          </w:tcPr>
          <w:p w:rsidR="003A754E" w:rsidRPr="00C31085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i/>
                <w:color w:val="000000" w:themeColor="text1"/>
                <w:kern w:val="24"/>
                <w:sz w:val="28"/>
                <w:szCs w:val="28"/>
              </w:rPr>
            </w:pPr>
            <w:r w:rsidRPr="00C31085">
              <w:rPr>
                <w:rFonts w:eastAsiaTheme="minorEastAsia"/>
                <w:i/>
                <w:color w:val="000000" w:themeColor="text1"/>
                <w:kern w:val="24"/>
                <w:sz w:val="28"/>
                <w:szCs w:val="28"/>
              </w:rPr>
              <w:t>Медицинская организация</w:t>
            </w:r>
          </w:p>
        </w:tc>
        <w:tc>
          <w:tcPr>
            <w:tcW w:w="2942" w:type="dxa"/>
          </w:tcPr>
          <w:p w:rsidR="003A754E" w:rsidRPr="00C31085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i/>
                <w:color w:val="000000" w:themeColor="text1"/>
                <w:kern w:val="24"/>
                <w:sz w:val="28"/>
                <w:szCs w:val="28"/>
              </w:rPr>
            </w:pPr>
            <w:r w:rsidRPr="00C31085">
              <w:rPr>
                <w:rFonts w:eastAsiaTheme="minorEastAsia"/>
                <w:i/>
                <w:color w:val="000000" w:themeColor="text1"/>
                <w:kern w:val="24"/>
                <w:sz w:val="28"/>
                <w:szCs w:val="28"/>
              </w:rPr>
              <w:t>Койки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ОГБУЗ «ИОПНД», из них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310</w:t>
            </w:r>
          </w:p>
        </w:tc>
      </w:tr>
      <w:tr w:rsidR="003A754E" w:rsidTr="00104124">
        <w:tc>
          <w:tcPr>
            <w:tcW w:w="6629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г. Иркутск</w:t>
            </w:r>
          </w:p>
        </w:tc>
        <w:tc>
          <w:tcPr>
            <w:tcW w:w="2942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1</w:t>
            </w:r>
            <w:r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75</w:t>
            </w:r>
          </w:p>
        </w:tc>
      </w:tr>
      <w:tr w:rsidR="003A754E" w:rsidTr="00104124">
        <w:tc>
          <w:tcPr>
            <w:tcW w:w="6629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Ангарский филиал</w:t>
            </w:r>
          </w:p>
        </w:tc>
        <w:tc>
          <w:tcPr>
            <w:tcW w:w="2942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30</w:t>
            </w:r>
          </w:p>
        </w:tc>
      </w:tr>
      <w:tr w:rsidR="003A754E" w:rsidTr="00104124">
        <w:tc>
          <w:tcPr>
            <w:tcW w:w="6629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Усольский филиал</w:t>
            </w:r>
          </w:p>
        </w:tc>
        <w:tc>
          <w:tcPr>
            <w:tcW w:w="2942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10</w:t>
            </w:r>
          </w:p>
        </w:tc>
      </w:tr>
      <w:tr w:rsidR="003A754E" w:rsidTr="00104124">
        <w:tc>
          <w:tcPr>
            <w:tcW w:w="6629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proofErr w:type="spellStart"/>
            <w:r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Черемховсий</w:t>
            </w:r>
            <w:proofErr w:type="spellEnd"/>
            <w:r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 xml:space="preserve"> филиал</w:t>
            </w:r>
          </w:p>
        </w:tc>
        <w:tc>
          <w:tcPr>
            <w:tcW w:w="2942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10</w:t>
            </w:r>
          </w:p>
        </w:tc>
      </w:tr>
      <w:tr w:rsidR="003A754E" w:rsidTr="00104124">
        <w:tc>
          <w:tcPr>
            <w:tcW w:w="6629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proofErr w:type="spellStart"/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Тулунский</w:t>
            </w:r>
            <w:proofErr w:type="spellEnd"/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 xml:space="preserve"> филиал</w:t>
            </w:r>
          </w:p>
        </w:tc>
        <w:tc>
          <w:tcPr>
            <w:tcW w:w="2942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30</w:t>
            </w:r>
          </w:p>
        </w:tc>
      </w:tr>
      <w:tr w:rsidR="003A754E" w:rsidTr="00104124">
        <w:tc>
          <w:tcPr>
            <w:tcW w:w="6629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Братский филиал</w:t>
            </w:r>
          </w:p>
        </w:tc>
        <w:tc>
          <w:tcPr>
            <w:tcW w:w="2942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25</w:t>
            </w:r>
          </w:p>
        </w:tc>
      </w:tr>
      <w:tr w:rsidR="003A754E" w:rsidTr="00104124">
        <w:tc>
          <w:tcPr>
            <w:tcW w:w="6629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right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proofErr w:type="spellStart"/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Усть</w:t>
            </w:r>
            <w:proofErr w:type="spellEnd"/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 xml:space="preserve"> – Илимский</w:t>
            </w:r>
            <w:r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 xml:space="preserve"> филиал</w:t>
            </w: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 xml:space="preserve"> </w:t>
            </w:r>
          </w:p>
        </w:tc>
        <w:tc>
          <w:tcPr>
            <w:tcW w:w="2942" w:type="dxa"/>
          </w:tcPr>
          <w:p w:rsidR="003A754E" w:rsidRPr="007A4108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</w:pPr>
            <w:r w:rsidRPr="007A4108">
              <w:rPr>
                <w:rFonts w:eastAsiaTheme="minorEastAsia"/>
                <w:color w:val="000000" w:themeColor="text1"/>
                <w:kern w:val="24"/>
                <w:sz w:val="22"/>
                <w:szCs w:val="28"/>
              </w:rPr>
              <w:t>30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ОГБУЗ </w:t>
            </w:r>
            <w:r w:rsidRPr="005C29E2">
              <w:rPr>
                <w:sz w:val="28"/>
                <w:szCs w:val="28"/>
              </w:rPr>
              <w:t>«Саянская городская больница»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ОГБУЗ </w:t>
            </w:r>
            <w:r w:rsidRPr="005C29E2">
              <w:rPr>
                <w:sz w:val="28"/>
                <w:szCs w:val="28"/>
              </w:rPr>
              <w:t>«Районная больница города Бодайбо»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</w:t>
            </w:r>
            <w:r w:rsidRPr="005C29E2">
              <w:rPr>
                <w:sz w:val="28"/>
                <w:szCs w:val="28"/>
              </w:rPr>
              <w:t xml:space="preserve"> «</w:t>
            </w:r>
            <w:proofErr w:type="spellStart"/>
            <w:r w:rsidRPr="005C29E2">
              <w:rPr>
                <w:sz w:val="28"/>
                <w:szCs w:val="28"/>
              </w:rPr>
              <w:t>Заларинская</w:t>
            </w:r>
            <w:proofErr w:type="spellEnd"/>
            <w:r w:rsidRPr="005C29E2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5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</w:t>
            </w:r>
            <w:r w:rsidRPr="005C29E2">
              <w:rPr>
                <w:sz w:val="28"/>
                <w:szCs w:val="28"/>
              </w:rPr>
              <w:t xml:space="preserve"> «</w:t>
            </w:r>
            <w:proofErr w:type="spellStart"/>
            <w:r w:rsidRPr="005C29E2">
              <w:rPr>
                <w:sz w:val="28"/>
                <w:szCs w:val="28"/>
              </w:rPr>
              <w:t>Казачинско</w:t>
            </w:r>
            <w:proofErr w:type="spellEnd"/>
            <w:r w:rsidRPr="005C29E2">
              <w:rPr>
                <w:sz w:val="28"/>
                <w:szCs w:val="28"/>
              </w:rPr>
              <w:t>-Ленская районная больница»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</w:t>
            </w:r>
            <w:r w:rsidRPr="005C29E2">
              <w:rPr>
                <w:sz w:val="28"/>
                <w:szCs w:val="28"/>
              </w:rPr>
              <w:t xml:space="preserve"> «</w:t>
            </w:r>
            <w:proofErr w:type="spellStart"/>
            <w:r w:rsidRPr="005C29E2">
              <w:rPr>
                <w:sz w:val="28"/>
                <w:szCs w:val="28"/>
              </w:rPr>
              <w:t>Железногорская</w:t>
            </w:r>
            <w:proofErr w:type="spellEnd"/>
            <w:r w:rsidRPr="005C29E2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12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</w:t>
            </w:r>
            <w:r w:rsidRPr="005C29E2">
              <w:rPr>
                <w:sz w:val="28"/>
                <w:szCs w:val="28"/>
              </w:rPr>
              <w:t xml:space="preserve"> «</w:t>
            </w:r>
            <w:proofErr w:type="spellStart"/>
            <w:r w:rsidRPr="005C29E2">
              <w:rPr>
                <w:sz w:val="28"/>
                <w:szCs w:val="28"/>
              </w:rPr>
              <w:t>Нижнеудинская</w:t>
            </w:r>
            <w:proofErr w:type="spellEnd"/>
            <w:r w:rsidRPr="005C29E2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20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</w:t>
            </w:r>
            <w:r w:rsidRPr="005C29E2">
              <w:rPr>
                <w:sz w:val="28"/>
                <w:szCs w:val="28"/>
              </w:rPr>
              <w:t xml:space="preserve"> «</w:t>
            </w:r>
            <w:proofErr w:type="spellStart"/>
            <w:r w:rsidRPr="005C29E2">
              <w:rPr>
                <w:sz w:val="28"/>
                <w:szCs w:val="28"/>
              </w:rPr>
              <w:t>Слюдянская</w:t>
            </w:r>
            <w:proofErr w:type="spellEnd"/>
            <w:r w:rsidRPr="005C29E2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</w:t>
            </w:r>
          </w:p>
        </w:tc>
      </w:tr>
      <w:tr w:rsidR="003A754E" w:rsidTr="00104124">
        <w:tc>
          <w:tcPr>
            <w:tcW w:w="6629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ОГБУЗ</w:t>
            </w:r>
            <w:r w:rsidRPr="005C29E2">
              <w:rPr>
                <w:sz w:val="28"/>
                <w:szCs w:val="28"/>
              </w:rPr>
              <w:t xml:space="preserve"> «</w:t>
            </w:r>
            <w:proofErr w:type="spellStart"/>
            <w:r w:rsidRPr="005C29E2">
              <w:rPr>
                <w:sz w:val="28"/>
                <w:szCs w:val="28"/>
              </w:rPr>
              <w:t>Тайшетская</w:t>
            </w:r>
            <w:proofErr w:type="spellEnd"/>
            <w:r w:rsidRPr="005C29E2">
              <w:rPr>
                <w:sz w:val="28"/>
                <w:szCs w:val="28"/>
              </w:rPr>
              <w:t xml:space="preserve"> районная больница»</w:t>
            </w:r>
          </w:p>
        </w:tc>
        <w:tc>
          <w:tcPr>
            <w:tcW w:w="2942" w:type="dxa"/>
          </w:tcPr>
          <w:p w:rsidR="003A754E" w:rsidRDefault="003A754E" w:rsidP="00104124">
            <w:pPr>
              <w:pStyle w:val="a3"/>
              <w:spacing w:before="0" w:beforeAutospacing="0" w:after="0" w:afterAutospacing="0"/>
              <w:jc w:val="center"/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</w:pPr>
            <w:r>
              <w:rPr>
                <w:rFonts w:eastAsiaTheme="minorEastAsia"/>
                <w:color w:val="000000" w:themeColor="text1"/>
                <w:kern w:val="24"/>
                <w:sz w:val="28"/>
                <w:szCs w:val="28"/>
              </w:rPr>
              <w:t>15</w:t>
            </w:r>
          </w:p>
        </w:tc>
      </w:tr>
    </w:tbl>
    <w:p w:rsidR="003A754E" w:rsidRDefault="003A754E" w:rsidP="003A754E">
      <w:pPr>
        <w:pStyle w:val="a3"/>
        <w:spacing w:before="0" w:beforeAutospacing="0" w:after="0" w:afterAutospacing="0"/>
        <w:ind w:firstLine="567"/>
        <w:jc w:val="both"/>
        <w:rPr>
          <w:rFonts w:eastAsiaTheme="minorEastAsia"/>
          <w:color w:val="000000" w:themeColor="text1"/>
          <w:kern w:val="24"/>
          <w:sz w:val="28"/>
          <w:szCs w:val="28"/>
        </w:rPr>
      </w:pPr>
    </w:p>
    <w:p w:rsidR="000A57FE" w:rsidRDefault="003A754E" w:rsidP="000A57FE">
      <w:pPr>
        <w:widowControl w:val="0"/>
        <w:ind w:firstLine="708"/>
        <w:contextualSpacing/>
        <w:jc w:val="both"/>
      </w:pPr>
      <w:r w:rsidRPr="00A84DAD">
        <w:t>Обеспеченность областного населения наркологическими койками (на 10 тыс. населения) 1.</w:t>
      </w:r>
      <w:r w:rsidR="00CA35FB">
        <w:t>48</w:t>
      </w:r>
      <w:r w:rsidRPr="00A84DAD">
        <w:t xml:space="preserve"> (СФО–1,0; РФ–1,3)</w:t>
      </w:r>
      <w:r>
        <w:t>.</w:t>
      </w:r>
      <w:r w:rsidRPr="00A84DAD">
        <w:t xml:space="preserve"> </w:t>
      </w:r>
    </w:p>
    <w:p w:rsidR="00CA35FB" w:rsidRDefault="003A754E" w:rsidP="000A57FE">
      <w:pPr>
        <w:widowControl w:val="0"/>
        <w:ind w:firstLine="708"/>
        <w:contextualSpacing/>
        <w:jc w:val="both"/>
        <w:rPr>
          <w:szCs w:val="28"/>
        </w:rPr>
      </w:pPr>
      <w:r w:rsidRPr="00A84DAD">
        <w:t>Стационары дневного пребывания (все в ИОПНД) – 175 пациенто – мест (из них 40 для реабилитации).</w:t>
      </w:r>
    </w:p>
    <w:p w:rsidR="000A57FE" w:rsidRPr="000A57FE" w:rsidRDefault="000A57FE" w:rsidP="000A57FE">
      <w:pPr>
        <w:widowControl w:val="0"/>
        <w:ind w:firstLine="708"/>
        <w:contextualSpacing/>
        <w:jc w:val="both"/>
        <w:rPr>
          <w:szCs w:val="28"/>
        </w:rPr>
      </w:pPr>
      <w:r>
        <w:rPr>
          <w:szCs w:val="28"/>
        </w:rPr>
        <w:t>За период 2023 года оказана стационарная медицинская помощь 8 670 пациентам с наркологическими расстройствами, в условиях дневных стационаров   - 17</w:t>
      </w:r>
      <w:r w:rsidR="00665E4C">
        <w:rPr>
          <w:szCs w:val="28"/>
        </w:rPr>
        <w:t>65</w:t>
      </w:r>
      <w:bookmarkStart w:id="0" w:name="_GoBack"/>
      <w:bookmarkEnd w:id="0"/>
      <w:r>
        <w:rPr>
          <w:szCs w:val="28"/>
        </w:rPr>
        <w:t xml:space="preserve"> пациентам.</w:t>
      </w:r>
    </w:p>
    <w:sectPr w:rsidR="000A57FE" w:rsidRPr="000A5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54E"/>
    <w:rsid w:val="000A57FE"/>
    <w:rsid w:val="003A754E"/>
    <w:rsid w:val="00665E4C"/>
    <w:rsid w:val="00933C4A"/>
    <w:rsid w:val="00CA35FB"/>
    <w:rsid w:val="00E3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B6EB8"/>
  <w15:chartTrackingRefBased/>
  <w15:docId w15:val="{E4B93F85-45A9-4DFA-B17D-486C87823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754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54E"/>
    <w:pPr>
      <w:spacing w:before="100" w:beforeAutospacing="1" w:after="100" w:afterAutospacing="1"/>
    </w:pPr>
    <w:rPr>
      <w:sz w:val="24"/>
      <w:szCs w:val="24"/>
    </w:rPr>
  </w:style>
  <w:style w:type="table" w:styleId="a4">
    <w:name w:val="Table Grid"/>
    <w:basedOn w:val="a1"/>
    <w:uiPriority w:val="59"/>
    <w:rsid w:val="003A7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Колесов Д.В.</dc:creator>
  <cp:keywords/>
  <dc:description/>
  <cp:lastModifiedBy>Колесов Д.В.</cp:lastModifiedBy>
  <cp:revision>3</cp:revision>
  <dcterms:created xsi:type="dcterms:W3CDTF">2024-02-28T03:35:00Z</dcterms:created>
  <dcterms:modified xsi:type="dcterms:W3CDTF">2024-02-28T03:53:00Z</dcterms:modified>
</cp:coreProperties>
</file>